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64" w:before="0" w:after="0"/>
        <w:ind w:left="54" w:hanging="10"/>
        <w:jc w:val="center"/>
        <w:rPr/>
      </w:pPr>
      <w:r>
        <w:rPr>
          <w:b/>
          <w:sz w:val="28"/>
        </w:rPr>
        <w:t xml:space="preserve">RISK ASSESSMENT REGISTER </w:t>
      </w:r>
    </w:p>
    <w:p>
      <w:pPr>
        <w:pStyle w:val="Normal"/>
        <w:spacing w:lineRule="auto" w:line="264" w:before="0" w:after="551"/>
        <w:ind w:left="54" w:right="5" w:hanging="10"/>
        <w:jc w:val="center"/>
        <w:rPr/>
      </w:pPr>
      <w:r>
        <w:rPr>
          <w:b/>
          <w:sz w:val="28"/>
        </w:rPr>
        <w:t xml:space="preserve">Birstwith Parish Council </w:t>
      </w:r>
    </w:p>
    <w:p>
      <w:pPr>
        <w:pStyle w:val="Heading1"/>
        <w:ind w:left="-5" w:hanging="10"/>
        <w:rPr/>
      </w:pPr>
      <w:r>
        <w:rPr/>
        <w:t xml:space="preserve">Background  </w:t>
      </w:r>
    </w:p>
    <w:p>
      <w:pPr>
        <w:pStyle w:val="Normal"/>
        <w:spacing w:before="0" w:after="266"/>
        <w:ind w:left="-5" w:hanging="10"/>
        <w:rPr/>
      </w:pPr>
      <w:r>
        <w:rPr/>
        <w:t xml:space="preserve">The greatest risk facing a Parish Council is that it is unable to continue its business as defined by law. Managing risk covers dealing with financial matters, issues of health and safety and ensuring plans are in place to achieve the Council’s objectives. The failure to manage risks effectively can be expensive items in terms of litigation and reputation, and the ability of the Council to achieve desired targets.  </w:t>
      </w:r>
    </w:p>
    <w:p>
      <w:pPr>
        <w:pStyle w:val="Normal"/>
        <w:ind w:left="-5" w:hanging="10"/>
        <w:rPr/>
      </w:pPr>
      <w:r>
        <w:rPr/>
        <w:t xml:space="preserve">The Council has evaluated how likely it is that a risk is present in any activity and the potential </w:t>
      </w:r>
    </w:p>
    <w:p>
      <w:pPr>
        <w:pStyle w:val="Normal"/>
        <w:spacing w:before="0" w:after="266"/>
        <w:ind w:left="-5" w:hanging="10"/>
        <w:rPr/>
      </w:pPr>
      <w:r>
        <w:rPr/>
        <w:t xml:space="preserve">consequences (financial loss, difficulties in meeting its legal obligations etc.) Some consequences may not have an immediate financial impact but could have an adverse effect on the Council’s standing in the community. The assessment of potential impact need not be any more complex than classifying each impact as </w:t>
      </w:r>
      <w:r>
        <w:rPr>
          <w:i/>
        </w:rPr>
        <w:t>high</w:t>
      </w:r>
      <w:r>
        <w:rPr/>
        <w:t xml:space="preserve">, </w:t>
      </w:r>
      <w:r>
        <w:rPr>
          <w:i/>
        </w:rPr>
        <w:t xml:space="preserve">medium </w:t>
      </w:r>
      <w:r>
        <w:rPr/>
        <w:t xml:space="preserve">or </w:t>
      </w:r>
      <w:r>
        <w:rPr>
          <w:i/>
        </w:rPr>
        <w:t>low</w:t>
      </w:r>
      <w:r>
        <w:rPr/>
        <w:t xml:space="preserve">. This assessment enables the Council to decide which risks it should pay most attention to when considering what measures to take to manage the risks.  </w:t>
      </w:r>
    </w:p>
    <w:p>
      <w:pPr>
        <w:pStyle w:val="Heading1"/>
        <w:ind w:left="-5" w:hanging="10"/>
        <w:rPr/>
      </w:pPr>
      <w:r>
        <w:rPr/>
        <w:t xml:space="preserve">Method  </w:t>
      </w:r>
    </w:p>
    <w:p>
      <w:pPr>
        <w:pStyle w:val="Normal"/>
        <w:ind w:left="-5" w:hanging="10"/>
        <w:rPr/>
      </w:pPr>
      <w:r>
        <w:rPr/>
        <w:t xml:space="preserve">The Clerk reviewed the following areas of risk with the aim of:  </w:t>
      </w:r>
    </w:p>
    <w:p>
      <w:pPr>
        <w:pStyle w:val="Normal"/>
        <w:numPr>
          <w:ilvl w:val="0"/>
          <w:numId w:val="1"/>
        </w:numPr>
        <w:ind w:left="334" w:hanging="334"/>
        <w:rPr/>
      </w:pPr>
      <w:r>
        <w:rPr/>
        <w:t xml:space="preserve">Identifying key risks facing the Council in achieving its objectives and priorities;  </w:t>
      </w:r>
    </w:p>
    <w:p>
      <w:pPr>
        <w:pStyle w:val="Normal"/>
        <w:numPr>
          <w:ilvl w:val="0"/>
          <w:numId w:val="1"/>
        </w:numPr>
        <w:ind w:left="334" w:hanging="334"/>
        <w:rPr/>
      </w:pPr>
      <w:r>
        <w:rPr/>
        <w:t xml:space="preserve">Evaluating the potential consequences to the council if an event identified as a risk takes place; and  </w:t>
      </w:r>
    </w:p>
    <w:p>
      <w:pPr>
        <w:pStyle w:val="Normal"/>
        <w:numPr>
          <w:ilvl w:val="0"/>
          <w:numId w:val="1"/>
        </w:numPr>
        <w:ind w:left="334" w:hanging="334"/>
        <w:rPr/>
      </w:pPr>
      <w:r>
        <w:rPr/>
        <w:t xml:space="preserve">Deciding upon appropriate measures to avoid, reduce or control the risk and its consequences;  </w:t>
      </w:r>
    </w:p>
    <w:p>
      <w:pPr>
        <w:pStyle w:val="Normal"/>
        <w:numPr>
          <w:ilvl w:val="0"/>
          <w:numId w:val="1"/>
        </w:numPr>
        <w:ind w:left="334" w:hanging="334"/>
        <w:rPr/>
      </w:pPr>
      <w:r>
        <w:rPr/>
        <w:t xml:space="preserve">Publishing a plan for the review of systems and procedures;  </w:t>
      </w:r>
    </w:p>
    <w:p>
      <w:pPr>
        <w:pStyle w:val="Normal"/>
        <w:numPr>
          <w:ilvl w:val="0"/>
          <w:numId w:val="1"/>
        </w:numPr>
        <w:ind w:left="334" w:hanging="334"/>
        <w:rPr/>
      </w:pPr>
      <w:r>
        <w:rPr/>
        <w:t xml:space="preserve">Continuing the practice of maintaining the minutes of meetings as an essential record of the review and management of risk;  </w:t>
      </w:r>
    </w:p>
    <w:p>
      <w:pPr>
        <w:pStyle w:val="Normal"/>
        <w:ind w:left="-5" w:hanging="10"/>
        <w:rPr/>
      </w:pPr>
      <w:r>
        <w:rPr/>
        <w:t>(f) Agreeing that the activities listed in the Appendices are an accurate list of current practices</w:t>
      </w:r>
    </w:p>
    <w:tbl>
      <w:tblPr>
        <w:tblW w:w="1054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2772"/>
        <w:gridCol w:w="2499"/>
        <w:gridCol w:w="2635"/>
        <w:gridCol w:w="2642"/>
      </w:tblGrid>
      <w:tr>
        <w:trPr/>
        <w:tc>
          <w:tcPr>
            <w:tcW w:w="277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sz w:val="20"/>
                <w:szCs w:val="20"/>
              </w:rPr>
            </w:pPr>
            <w:r>
              <w:rPr>
                <w:b/>
                <w:bCs/>
                <w:sz w:val="20"/>
                <w:szCs w:val="20"/>
              </w:rPr>
              <w:t>ITEM</w:t>
            </w:r>
          </w:p>
          <w:p>
            <w:pPr>
              <w:pStyle w:val="TableContents"/>
              <w:rPr>
                <w:sz w:val="20"/>
                <w:szCs w:val="20"/>
              </w:rPr>
            </w:pPr>
            <w:r>
              <w:rPr>
                <w:sz w:val="20"/>
                <w:szCs w:val="20"/>
              </w:rPr>
            </w:r>
          </w:p>
          <w:p>
            <w:pPr>
              <w:pStyle w:val="TableContents"/>
              <w:spacing w:before="0" w:after="5"/>
              <w:rPr>
                <w:sz w:val="20"/>
                <w:szCs w:val="20"/>
              </w:rPr>
            </w:pPr>
            <w:r>
              <w:rPr>
                <w:sz w:val="20"/>
                <w:szCs w:val="20"/>
              </w:rPr>
            </w:r>
          </w:p>
        </w:tc>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sz w:val="20"/>
                <w:szCs w:val="20"/>
              </w:rPr>
            </w:pPr>
            <w:r>
              <w:rPr>
                <w:b/>
                <w:bCs/>
                <w:sz w:val="20"/>
                <w:szCs w:val="20"/>
              </w:rPr>
              <w:t>RISK</w:t>
            </w:r>
          </w:p>
          <w:p>
            <w:pPr>
              <w:pStyle w:val="TableContents"/>
              <w:spacing w:before="0" w:after="5"/>
              <w:rPr>
                <w:b/>
                <w:b/>
                <w:bCs/>
                <w:sz w:val="20"/>
                <w:szCs w:val="20"/>
              </w:rPr>
            </w:pPr>
            <w:r>
              <w:rPr>
                <w:b/>
                <w:bCs/>
                <w:sz w:val="20"/>
                <w:szCs w:val="20"/>
              </w:rPr>
              <w:t>PROBABILITY</w:t>
            </w:r>
          </w:p>
        </w:tc>
        <w:tc>
          <w:tcPr>
            <w:tcW w:w="263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b/>
                <w:b/>
                <w:bCs/>
                <w:sz w:val="20"/>
                <w:szCs w:val="20"/>
              </w:rPr>
            </w:pPr>
            <w:r>
              <w:rPr>
                <w:b/>
                <w:bCs/>
                <w:sz w:val="20"/>
                <w:szCs w:val="20"/>
              </w:rPr>
              <w:t>RISK CONTROL</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
              <w:rPr>
                <w:b/>
                <w:b/>
                <w:bCs/>
                <w:sz w:val="20"/>
                <w:szCs w:val="20"/>
              </w:rPr>
            </w:pPr>
            <w:r>
              <w:rPr>
                <w:b/>
                <w:bCs/>
                <w:sz w:val="20"/>
                <w:szCs w:val="20"/>
              </w:rPr>
              <w:t>DATE REVIEWED</w:t>
            </w:r>
          </w:p>
        </w:tc>
      </w:tr>
      <w:tr>
        <w:trPr/>
        <w:tc>
          <w:tcPr>
            <w:tcW w:w="277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sz w:val="20"/>
                <w:szCs w:val="20"/>
              </w:rPr>
            </w:pPr>
            <w:r>
              <w:rPr>
                <w:sz w:val="20"/>
                <w:szCs w:val="20"/>
              </w:rPr>
              <w:t>That there is no</w:t>
            </w:r>
          </w:p>
          <w:p>
            <w:pPr>
              <w:pStyle w:val="TableContents"/>
              <w:spacing w:before="0" w:after="5"/>
              <w:rPr>
                <w:sz w:val="20"/>
                <w:szCs w:val="20"/>
              </w:rPr>
            </w:pPr>
            <w:r>
              <w:rPr>
                <w:sz w:val="20"/>
                <w:szCs w:val="20"/>
              </w:rPr>
              <w:t>Councillors</w:t>
            </w:r>
          </w:p>
        </w:tc>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Low-medium</w:t>
            </w:r>
          </w:p>
        </w:tc>
        <w:tc>
          <w:tcPr>
            <w:tcW w:w="263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The power to act to ensure a quorate council rests with the District Authority</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
              <w:rPr>
                <w:sz w:val="20"/>
                <w:szCs w:val="20"/>
              </w:rPr>
            </w:pPr>
            <w:r>
              <w:rPr>
                <w:sz w:val="20"/>
                <w:szCs w:val="20"/>
              </w:rPr>
              <w:t>Ongoing</w:t>
            </w:r>
          </w:p>
        </w:tc>
      </w:tr>
      <w:tr>
        <w:trPr/>
        <w:tc>
          <w:tcPr>
            <w:tcW w:w="277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That any full Council or Council committee meeting is inquorate</w:t>
            </w:r>
          </w:p>
        </w:tc>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Low</w:t>
            </w:r>
          </w:p>
        </w:tc>
        <w:tc>
          <w:tcPr>
            <w:tcW w:w="263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Standing Orders specify the number of Councillors for a quorum and the Clerk will make arrangements for a new meeting of the Council</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
              <w:ind w:left="10" w:hanging="0"/>
              <w:rPr>
                <w:sz w:val="20"/>
                <w:szCs w:val="20"/>
              </w:rPr>
            </w:pPr>
            <w:r>
              <w:rPr>
                <w:sz w:val="20"/>
                <w:szCs w:val="20"/>
              </w:rPr>
              <w:t>Ongoing</w:t>
            </w:r>
          </w:p>
        </w:tc>
      </w:tr>
      <w:tr>
        <w:trPr/>
        <w:tc>
          <w:tcPr>
            <w:tcW w:w="277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Parish Notice Boards</w:t>
            </w:r>
          </w:p>
        </w:tc>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Low</w:t>
            </w:r>
          </w:p>
        </w:tc>
        <w:tc>
          <w:tcPr>
            <w:tcW w:w="263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Visual inspection by Clerk/Councillors who would report any defects</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
              <w:rPr>
                <w:sz w:val="20"/>
                <w:szCs w:val="20"/>
              </w:rPr>
            </w:pPr>
            <w:r>
              <w:rPr>
                <w:sz w:val="20"/>
                <w:szCs w:val="20"/>
              </w:rPr>
              <w:t>Ongoing</w:t>
            </w:r>
          </w:p>
        </w:tc>
      </w:tr>
      <w:tr>
        <w:trPr/>
        <w:tc>
          <w:tcPr>
            <w:tcW w:w="277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Village Fountain</w:t>
            </w:r>
          </w:p>
        </w:tc>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5"/>
              <w:rPr>
                <w:sz w:val="20"/>
                <w:szCs w:val="20"/>
              </w:rPr>
            </w:pPr>
            <w:r>
              <w:rPr>
                <w:sz w:val="20"/>
                <w:szCs w:val="20"/>
              </w:rPr>
              <w:t>Low</w:t>
            </w:r>
          </w:p>
        </w:tc>
        <w:tc>
          <w:tcPr>
            <w:tcW w:w="263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sz w:val="20"/>
                <w:szCs w:val="20"/>
              </w:rPr>
            </w:pPr>
            <w:r>
              <w:rPr>
                <w:sz w:val="20"/>
                <w:szCs w:val="20"/>
              </w:rPr>
              <w:t>Covered by Parish Council insurance policy</w:t>
            </w:r>
          </w:p>
          <w:p>
            <w:pPr>
              <w:pStyle w:val="TableContents"/>
              <w:spacing w:before="0" w:after="5"/>
              <w:rPr>
                <w:sz w:val="20"/>
                <w:szCs w:val="20"/>
              </w:rPr>
            </w:pPr>
            <w:r>
              <w:rPr>
                <w:sz w:val="20"/>
                <w:szCs w:val="20"/>
              </w:rPr>
              <w:t>Periodic visual inspections</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5"/>
              <w:rPr>
                <w:sz w:val="20"/>
                <w:szCs w:val="20"/>
              </w:rPr>
            </w:pPr>
            <w:r>
              <w:rPr>
                <w:sz w:val="20"/>
                <w:szCs w:val="20"/>
              </w:rPr>
              <w:t>Ongoing</w:t>
            </w:r>
          </w:p>
        </w:tc>
      </w:tr>
      <w:tr>
        <w:trPr/>
        <w:tc>
          <w:tcPr>
            <w:tcW w:w="277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sz w:val="20"/>
                <w:szCs w:val="20"/>
              </w:rPr>
            </w:pPr>
            <w:r>
              <w:rPr>
                <w:sz w:val="20"/>
                <w:szCs w:val="20"/>
              </w:rPr>
              <w:t>Telephone Kiosk</w:t>
            </w:r>
          </w:p>
          <w:p>
            <w:pPr>
              <w:pStyle w:val="TableContents"/>
              <w:rPr>
                <w:sz w:val="20"/>
                <w:szCs w:val="20"/>
              </w:rPr>
            </w:pPr>
            <w:r>
              <w:rPr>
                <w:sz w:val="20"/>
                <w:szCs w:val="20"/>
              </w:rPr>
            </w:r>
          </w:p>
          <w:p>
            <w:pPr>
              <w:pStyle w:val="TableContents"/>
              <w:rPr>
                <w:sz w:val="20"/>
                <w:szCs w:val="20"/>
              </w:rPr>
            </w:pPr>
            <w:r>
              <w:rPr>
                <w:sz w:val="20"/>
                <w:szCs w:val="20"/>
              </w:rPr>
            </w:r>
          </w:p>
          <w:p>
            <w:pPr>
              <w:pStyle w:val="TableContents"/>
              <w:rPr>
                <w:sz w:val="20"/>
                <w:szCs w:val="20"/>
              </w:rPr>
            </w:pPr>
            <w:r>
              <w:rPr>
                <w:sz w:val="20"/>
                <w:szCs w:val="20"/>
              </w:rPr>
            </w:r>
          </w:p>
          <w:p>
            <w:pPr>
              <w:pStyle w:val="TableContents"/>
              <w:rPr>
                <w:u w:val="none"/>
              </w:rPr>
            </w:pPr>
            <w:r>
              <w:rPr>
                <w:sz w:val="20"/>
                <w:szCs w:val="20"/>
                <w:u w:val="none"/>
              </w:rPr>
              <w:t>---------------------------------------</w:t>
            </w:r>
          </w:p>
          <w:p>
            <w:pPr>
              <w:pStyle w:val="TableContents"/>
              <w:spacing w:before="0" w:after="5"/>
              <w:rPr/>
            </w:pPr>
            <w:r>
              <w:rPr>
                <w:sz w:val="20"/>
                <w:szCs w:val="20"/>
              </w:rPr>
              <w:t>P</w:t>
            </w:r>
            <w:r>
              <w:rPr>
                <w:sz w:val="20"/>
                <w:szCs w:val="20"/>
              </w:rPr>
              <w:t xml:space="preserve">lay </w:t>
            </w:r>
            <w:r>
              <w:rPr>
                <w:sz w:val="20"/>
                <w:szCs w:val="20"/>
              </w:rPr>
              <w:t>Area</w:t>
            </w:r>
          </w:p>
        </w:tc>
        <w:tc>
          <w:tcPr>
            <w:tcW w:w="249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sz w:val="20"/>
                <w:szCs w:val="20"/>
              </w:rPr>
            </w:pPr>
            <w:r>
              <w:rPr>
                <w:sz w:val="20"/>
                <w:szCs w:val="20"/>
              </w:rPr>
              <w:t>Low</w:t>
            </w:r>
          </w:p>
          <w:p>
            <w:pPr>
              <w:pStyle w:val="TableContents"/>
              <w:rPr>
                <w:sz w:val="20"/>
                <w:szCs w:val="20"/>
              </w:rPr>
            </w:pPr>
            <w:r>
              <w:rPr>
                <w:sz w:val="20"/>
                <w:szCs w:val="20"/>
              </w:rPr>
            </w:r>
          </w:p>
          <w:p>
            <w:pPr>
              <w:pStyle w:val="TableContents"/>
              <w:rPr>
                <w:sz w:val="20"/>
                <w:szCs w:val="20"/>
              </w:rPr>
            </w:pPr>
            <w:r>
              <w:rPr>
                <w:sz w:val="20"/>
                <w:szCs w:val="20"/>
              </w:rPr>
            </w:r>
          </w:p>
          <w:p>
            <w:pPr>
              <w:pStyle w:val="TableContents"/>
              <w:rPr>
                <w:sz w:val="20"/>
                <w:szCs w:val="20"/>
              </w:rPr>
            </w:pPr>
            <w:r>
              <w:rPr>
                <w:sz w:val="20"/>
                <w:szCs w:val="20"/>
              </w:rPr>
            </w:r>
          </w:p>
          <w:p>
            <w:pPr>
              <w:pStyle w:val="TableContents"/>
              <w:rPr>
                <w:sz w:val="20"/>
                <w:szCs w:val="20"/>
              </w:rPr>
            </w:pPr>
            <w:r>
              <w:rPr>
                <w:sz w:val="20"/>
                <w:szCs w:val="20"/>
              </w:rPr>
              <w:t>-----------------------------------</w:t>
            </w:r>
          </w:p>
          <w:p>
            <w:pPr>
              <w:pStyle w:val="TableContents"/>
              <w:spacing w:before="0" w:after="5"/>
              <w:rPr>
                <w:sz w:val="20"/>
                <w:szCs w:val="20"/>
              </w:rPr>
            </w:pPr>
            <w:r>
              <w:rPr>
                <w:sz w:val="20"/>
                <w:szCs w:val="20"/>
              </w:rPr>
              <w:t>Low/</w:t>
            </w:r>
            <w:r>
              <w:rPr>
                <w:sz w:val="20"/>
                <w:szCs w:val="20"/>
              </w:rPr>
              <w:t>Medium</w:t>
            </w:r>
          </w:p>
        </w:tc>
        <w:tc>
          <w:tcPr>
            <w:tcW w:w="263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sz w:val="20"/>
                <w:szCs w:val="20"/>
              </w:rPr>
            </w:pPr>
            <w:r>
              <w:rPr>
                <w:sz w:val="20"/>
                <w:szCs w:val="20"/>
              </w:rPr>
              <w:t>Covered by Parish Council insurance policy</w:t>
            </w:r>
          </w:p>
          <w:p>
            <w:pPr>
              <w:pStyle w:val="TableContents"/>
              <w:rPr/>
            </w:pPr>
            <w:r>
              <w:rPr>
                <w:sz w:val="20"/>
                <w:szCs w:val="20"/>
              </w:rPr>
              <w:t xml:space="preserve">Periodic visual inspections and repairs </w:t>
            </w:r>
            <w:r>
              <w:rPr>
                <w:sz w:val="20"/>
                <w:szCs w:val="20"/>
                <w:u w:val="none"/>
              </w:rPr>
              <w:t xml:space="preserve">carried out as </w:t>
            </w:r>
          </w:p>
          <w:p>
            <w:pPr>
              <w:pStyle w:val="TableContents"/>
              <w:rPr/>
            </w:pPr>
            <w:r>
              <w:rPr>
                <w:sz w:val="20"/>
                <w:szCs w:val="20"/>
                <w:u w:val="none"/>
              </w:rPr>
              <w:t>require</w:t>
            </w:r>
            <w:r>
              <w:rPr>
                <w:sz w:val="20"/>
                <w:szCs w:val="20"/>
                <w:u w:val="none"/>
              </w:rPr>
              <w:t>d</w:t>
            </w:r>
          </w:p>
          <w:p>
            <w:pPr>
              <w:pStyle w:val="TableContents"/>
              <w:rPr>
                <w:sz w:val="20"/>
                <w:szCs w:val="20"/>
              </w:rPr>
            </w:pPr>
            <w:r>
              <w:rPr>
                <w:sz w:val="20"/>
                <w:szCs w:val="20"/>
              </w:rPr>
              <w:t>Monthly safety checks made</w:t>
            </w:r>
          </w:p>
          <w:p>
            <w:pPr>
              <w:pStyle w:val="TableContents"/>
              <w:rPr>
                <w:sz w:val="20"/>
                <w:szCs w:val="20"/>
              </w:rPr>
            </w:pPr>
            <w:r>
              <w:rPr>
                <w:sz w:val="20"/>
                <w:szCs w:val="20"/>
              </w:rPr>
              <w:t>and repairs carried out as required.  ROSPA annual</w:t>
            </w:r>
          </w:p>
          <w:p>
            <w:pPr>
              <w:pStyle w:val="TableContents"/>
              <w:spacing w:before="0" w:after="5"/>
              <w:rPr>
                <w:sz w:val="20"/>
                <w:szCs w:val="20"/>
              </w:rPr>
            </w:pPr>
            <w:r>
              <w:rPr>
                <w:sz w:val="20"/>
                <w:szCs w:val="20"/>
              </w:rPr>
              <w:t xml:space="preserve">safety check </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sz w:val="20"/>
                <w:szCs w:val="20"/>
              </w:rPr>
            </w:pPr>
            <w:r>
              <w:rPr>
                <w:sz w:val="20"/>
                <w:szCs w:val="20"/>
              </w:rPr>
              <w:t>Ongoing</w:t>
            </w:r>
          </w:p>
          <w:p>
            <w:pPr>
              <w:pStyle w:val="TableContents"/>
              <w:rPr>
                <w:sz w:val="20"/>
                <w:szCs w:val="20"/>
              </w:rPr>
            </w:pPr>
            <w:r>
              <w:rPr>
                <w:sz w:val="20"/>
                <w:szCs w:val="20"/>
              </w:rPr>
            </w:r>
          </w:p>
          <w:p>
            <w:pPr>
              <w:pStyle w:val="TableContents"/>
              <w:rPr>
                <w:sz w:val="20"/>
                <w:szCs w:val="20"/>
              </w:rPr>
            </w:pPr>
            <w:r>
              <w:rPr>
                <w:sz w:val="20"/>
                <w:szCs w:val="20"/>
              </w:rPr>
            </w:r>
          </w:p>
          <w:p>
            <w:pPr>
              <w:pStyle w:val="TableContents"/>
              <w:rPr>
                <w:sz w:val="20"/>
                <w:szCs w:val="20"/>
              </w:rPr>
            </w:pPr>
            <w:r>
              <w:rPr>
                <w:sz w:val="20"/>
                <w:szCs w:val="20"/>
              </w:rPr>
            </w:r>
          </w:p>
          <w:p>
            <w:pPr>
              <w:pStyle w:val="TableContents"/>
              <w:rPr>
                <w:sz w:val="20"/>
                <w:szCs w:val="20"/>
              </w:rPr>
            </w:pPr>
            <w:r>
              <w:rPr>
                <w:sz w:val="20"/>
                <w:szCs w:val="20"/>
              </w:rPr>
              <w:t>-------------------------------------</w:t>
            </w:r>
          </w:p>
          <w:p>
            <w:pPr>
              <w:pStyle w:val="TableContents"/>
              <w:spacing w:before="0" w:after="5"/>
              <w:rPr>
                <w:sz w:val="20"/>
                <w:szCs w:val="20"/>
              </w:rPr>
            </w:pPr>
            <w:r>
              <w:rPr>
                <w:sz w:val="20"/>
                <w:szCs w:val="20"/>
              </w:rPr>
              <w:t>Ongoing</w:t>
            </w:r>
          </w:p>
        </w:tc>
      </w:tr>
    </w:tbl>
    <w:p>
      <w:pPr>
        <w:pStyle w:val="Heading1"/>
        <w:ind w:left="-15" w:hanging="0"/>
        <w:rPr/>
      </w:pPr>
      <w:r>
        <w:rPr/>
      </w:r>
    </w:p>
    <w:p>
      <w:pPr>
        <w:pStyle w:val="Normal"/>
        <w:spacing w:lineRule="auto" w:line="259" w:before="0" w:after="0"/>
        <w:ind w:left="-662" w:right="11203" w:hanging="0"/>
        <w:rPr/>
      </w:pPr>
      <w:r>
        <w:rPr/>
      </w:r>
    </w:p>
    <w:tbl>
      <w:tblPr>
        <w:tblStyle w:val="TableGrid"/>
        <w:tblW w:w="10922" w:type="dxa"/>
        <w:jc w:val="left"/>
        <w:tblInd w:w="-1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9" w:type="dxa"/>
          <w:bottom w:w="0" w:type="dxa"/>
          <w:right w:w="108" w:type="dxa"/>
        </w:tblCellMar>
        <w:tblLook w:firstRow="1" w:noVBand="1" w:lastRow="0" w:firstColumn="1" w:lastColumn="0" w:noHBand="0" w:val="04a0"/>
      </w:tblPr>
      <w:tblGrid>
        <w:gridCol w:w="2856"/>
        <w:gridCol w:w="1842"/>
        <w:gridCol w:w="3113"/>
        <w:gridCol w:w="3110"/>
      </w:tblGrid>
      <w:tr>
        <w:trPr>
          <w:trHeight w:val="1548"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ie. fraud or dishonesty</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0" w:hanging="0"/>
              <w:rPr/>
            </w:pPr>
            <w:r>
              <w:rPr/>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40" w:before="0" w:after="274"/>
              <w:ind w:left="10" w:hanging="0"/>
              <w:jc w:val="both"/>
              <w:rPr/>
            </w:pPr>
            <w:r>
              <w:rPr/>
              <w:t xml:space="preserve">insurance policy covers any Councillor, Clerk or employee. Cheques </w:t>
              <w:tab/>
              <w:t>require two signatories.  There is no petty cash</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508"/>
              <w:ind w:left="-10" w:hanging="0"/>
              <w:rPr/>
            </w:pPr>
            <w:r>
              <w:rPr/>
              <w:t xml:space="preserve"> </w:t>
            </w:r>
            <w:r>
              <w:rPr/>
              <w:t>May 2017</w:t>
            </w:r>
          </w:p>
          <w:p>
            <w:pPr>
              <w:pStyle w:val="Normal"/>
              <w:spacing w:lineRule="auto" w:line="259" w:before="0" w:after="0"/>
              <w:ind w:left="-10" w:right="3059" w:hanging="0"/>
              <w:jc w:val="both"/>
              <w:rPr/>
            </w:pPr>
            <w:r>
              <w:rPr/>
              <w:t xml:space="preserve">  </w:t>
            </w:r>
          </w:p>
        </w:tc>
      </w:tr>
      <w:tr>
        <w:trPr>
          <w:trHeight w:val="4097"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254"/>
              <w:ind w:left="10" w:hanging="0"/>
              <w:rPr/>
            </w:pPr>
            <w:r>
              <w:rPr/>
              <w:t xml:space="preserve">Non-negotiable Money </w:t>
            </w:r>
          </w:p>
          <w:p>
            <w:pPr>
              <w:pStyle w:val="Normal"/>
              <w:spacing w:lineRule="auto" w:line="235" w:before="0" w:after="21"/>
              <w:ind w:left="10" w:hanging="0"/>
              <w:jc w:val="both"/>
              <w:rPr/>
            </w:pPr>
            <w:r>
              <w:rPr/>
              <w:t>Negotiable Cash/Uncrossed cheques held at</w:t>
            </w:r>
          </w:p>
          <w:p>
            <w:pPr>
              <w:pStyle w:val="Normal"/>
              <w:spacing w:lineRule="auto" w:line="259" w:before="0" w:after="0"/>
              <w:ind w:left="10" w:hanging="0"/>
              <w:rPr/>
            </w:pPr>
            <w:r>
              <w:rPr/>
              <w:t>Clerk’s/Councillors home</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263"/>
              <w:ind w:left="10" w:hanging="0"/>
              <w:rPr/>
            </w:pPr>
            <w:r>
              <w:rPr/>
              <w:t xml:space="preserve">Low </w:t>
            </w:r>
          </w:p>
          <w:p>
            <w:pPr>
              <w:pStyle w:val="Normal"/>
              <w:spacing w:lineRule="auto" w:line="259" w:before="0" w:after="0"/>
              <w:ind w:left="-13" w:hanging="0"/>
              <w:rPr/>
            </w:pPr>
            <w:r>
              <w:rPr/>
              <w:t xml:space="preserve"> </w:t>
            </w:r>
            <w:r>
              <w:rPr>
                <w:sz w:val="24"/>
              </w:rPr>
              <w:t xml:space="preserve"> </w:t>
            </w:r>
          </w:p>
          <w:p>
            <w:pPr>
              <w:pStyle w:val="Normal"/>
              <w:spacing w:lineRule="auto" w:line="259" w:before="0" w:after="0"/>
              <w:ind w:left="-12" w:hanging="0"/>
              <w:rPr/>
            </w:pPr>
            <w:r>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0"/>
              <w:ind w:left="10" w:hanging="0"/>
              <w:jc w:val="both"/>
              <w:rPr/>
            </w:pPr>
            <w:bookmarkStart w:id="0" w:name="_GoBack"/>
            <w:bookmarkEnd w:id="0"/>
            <w:r>
              <w:rPr/>
              <w:t xml:space="preserve">Covered by Parish Council insurance policy </w:t>
            </w:r>
          </w:p>
          <w:p>
            <w:pPr>
              <w:pStyle w:val="Normal"/>
              <w:spacing w:lineRule="auto" w:line="235" w:before="0" w:after="0"/>
              <w:ind w:left="10" w:hanging="0"/>
              <w:rPr/>
            </w:pPr>
            <w:r>
              <w:rPr/>
              <w:t xml:space="preserve">The Parish Council does not hold any Petty Cash nor does it receive any payments by uncrossed cheque. The </w:t>
            </w:r>
          </w:p>
          <w:p>
            <w:pPr>
              <w:pStyle w:val="Normal"/>
              <w:spacing w:lineRule="auto" w:line="259" w:before="0" w:after="0"/>
              <w:ind w:left="10" w:hanging="0"/>
              <w:rPr/>
            </w:pPr>
            <w:r>
              <w:rPr/>
              <w:t xml:space="preserve">Council has Financial </w:t>
            </w:r>
          </w:p>
          <w:p>
            <w:pPr>
              <w:pStyle w:val="Normal"/>
              <w:spacing w:lineRule="auto" w:line="259" w:before="0" w:after="0"/>
              <w:ind w:left="10" w:hanging="0"/>
              <w:rPr/>
            </w:pPr>
            <w:r>
              <w:rPr/>
              <w:t xml:space="preserve">Regulations which set out the requirements for banking, cheques and reconciliation of accounts. Accounts are annually reviewed by the auditor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rFonts w:eastAsia="Times New Roman" w:cs="Times New Roman" w:ascii="Times New Roman" w:hAnsi="Times New Roman"/>
                <w:sz w:val="24"/>
              </w:rPr>
              <w:t xml:space="preserve"> </w:t>
            </w:r>
          </w:p>
          <w:p>
            <w:pPr>
              <w:pStyle w:val="Normal"/>
              <w:spacing w:lineRule="auto" w:line="259" w:before="0" w:after="0"/>
              <w:ind w:left="-10" w:hanging="0"/>
              <w:rPr/>
            </w:pPr>
            <w:r>
              <w:rPr/>
              <w:t xml:space="preserve"> </w:t>
            </w:r>
            <w:r>
              <w:rPr/>
              <w:t>May 2017</w:t>
            </w:r>
          </w:p>
        </w:tc>
      </w:tr>
      <w:tr>
        <w:trPr>
          <w:trHeight w:val="511"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Employers Liability</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Covered by Parish Council</w:t>
            </w:r>
          </w:p>
          <w:p>
            <w:pPr>
              <w:pStyle w:val="Normal"/>
              <w:spacing w:lineRule="auto" w:line="259" w:before="0" w:after="0"/>
              <w:ind w:left="10" w:hanging="0"/>
              <w:rPr/>
            </w:pPr>
            <w:r>
              <w:rPr/>
              <w:t>insurance policy</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 </w:t>
            </w:r>
            <w:r>
              <w:rPr/>
              <w:t>May 2017</w:t>
            </w:r>
          </w:p>
        </w:tc>
      </w:tr>
      <w:tr>
        <w:trPr>
          <w:trHeight w:val="766"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tabs>
                <w:tab w:val="center" w:pos="444" w:leader="none"/>
                <w:tab w:val="center" w:pos="1770" w:leader="none"/>
                <w:tab w:val="center" w:pos="2754" w:leader="none"/>
              </w:tabs>
              <w:spacing w:lineRule="auto" w:line="259" w:before="0" w:after="0"/>
              <w:ind w:left="0" w:hanging="0"/>
              <w:rPr/>
            </w:pPr>
            <w:r>
              <w:rPr>
                <w:rFonts w:eastAsia="Calibri" w:cs="Calibri" w:ascii="Calibri" w:hAnsi="Calibri"/>
              </w:rPr>
              <w:tab/>
            </w:r>
            <w:r>
              <w:rPr/>
              <w:t xml:space="preserve">Personal </w:t>
              <w:tab/>
              <w:t xml:space="preserve">Accident </w:t>
              <w:tab/>
              <w:t>to</w:t>
            </w:r>
          </w:p>
          <w:p>
            <w:pPr>
              <w:pStyle w:val="Normal"/>
              <w:spacing w:lineRule="auto" w:line="259" w:before="0" w:after="0"/>
              <w:ind w:left="10" w:hanging="0"/>
              <w:jc w:val="both"/>
              <w:rPr/>
            </w:pPr>
            <w:r>
              <w:rPr/>
              <w:t>Councillors, Clerk, employee or voluntary worker</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3" w:hanging="0"/>
              <w:rPr/>
            </w:pPr>
            <w:r>
              <w:rPr/>
              <w:t xml:space="preserve"> </w:t>
            </w:r>
            <w:r>
              <w:rPr/>
              <w:t>Low</w:t>
            </w:r>
            <w:r>
              <w:rPr>
                <w:sz w:val="24"/>
              </w:rPr>
              <w:t xml:space="preserve"> </w:t>
            </w:r>
          </w:p>
          <w:p>
            <w:pPr>
              <w:pStyle w:val="Normal"/>
              <w:spacing w:lineRule="auto" w:line="259" w:before="0" w:after="0"/>
              <w:ind w:left="-13" w:hanging="0"/>
              <w:rPr/>
            </w:pPr>
            <w:r>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Covered by Parish Council</w:t>
            </w:r>
          </w:p>
          <w:p>
            <w:pPr>
              <w:pStyle w:val="Normal"/>
              <w:spacing w:lineRule="auto" w:line="259" w:before="0" w:after="0"/>
              <w:ind w:left="10" w:hanging="0"/>
              <w:rPr/>
            </w:pPr>
            <w:r>
              <w:rPr/>
              <w:t>insurance policy</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 </w:t>
            </w:r>
            <w:r>
              <w:rPr/>
              <w:t>May 2017</w:t>
            </w:r>
          </w:p>
        </w:tc>
      </w:tr>
      <w:tr>
        <w:trPr>
          <w:trHeight w:val="509"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Libel and Slander</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Covered by Parish Council</w:t>
            </w:r>
          </w:p>
          <w:p>
            <w:pPr>
              <w:pStyle w:val="Normal"/>
              <w:spacing w:lineRule="auto" w:line="259" w:before="0" w:after="0"/>
              <w:ind w:left="10" w:hanging="0"/>
              <w:rPr/>
            </w:pPr>
            <w:r>
              <w:rPr/>
              <w:t>insurance policy</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 </w:t>
            </w:r>
            <w:r>
              <w:rPr/>
              <w:t>May 2017</w:t>
            </w:r>
          </w:p>
        </w:tc>
      </w:tr>
      <w:tr>
        <w:trPr>
          <w:trHeight w:val="511"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mc:AlternateContent>
                <mc:Choice Requires="wps">
                  <w:drawing>
                    <wp:anchor behindDoc="0" distT="0" distB="0" distL="0" distR="0" simplePos="0" locked="0" layoutInCell="1" allowOverlap="1" relativeHeight="2">
                      <wp:simplePos x="0" y="0"/>
                      <wp:positionH relativeFrom="column">
                        <wp:posOffset>231140</wp:posOffset>
                      </wp:positionH>
                      <wp:positionV relativeFrom="paragraph">
                        <wp:posOffset>843280</wp:posOffset>
                      </wp:positionV>
                      <wp:extent cx="6936740" cy="161290"/>
                      <wp:effectExtent l="0" t="0" r="0" b="0"/>
                      <wp:wrapSquare wrapText="bothSides"/>
                      <wp:docPr id="1" name="Frame1"/>
                      <a:graphic xmlns:a="http://schemas.openxmlformats.org/drawingml/2006/main">
                        <a:graphicData uri="http://schemas.microsoft.com/office/word/2010/wordprocessingShape">
                          <wps:wsp>
                            <wps:cNvSpPr/>
                            <wps:spPr>
                              <a:xfrm>
                                <a:off x="0" y="0"/>
                                <a:ext cx="6936120" cy="160560"/>
                              </a:xfrm>
                              <a:prstGeom prst="rect">
                                <a:avLst/>
                              </a:prstGeom>
                              <a:noFill/>
                              <a:ln>
                                <a:noFill/>
                              </a:ln>
                            </wps:spPr>
                            <wps:style>
                              <a:lnRef idx="0"/>
                              <a:fillRef idx="0"/>
                              <a:effectRef idx="0"/>
                              <a:fontRef idx="minor"/>
                            </wps:style>
                            <wps:txbx>
                              <w:txbxContent>
                                <w:p>
                                  <w:pPr>
                                    <w:pStyle w:val="FrameContents"/>
                                    <w:spacing w:before="0" w:after="5"/>
                                    <w:rPr/>
                                  </w:pPr>
                                  <w:r>
                                    <w:rPr/>
                                  </w:r>
                                </w:p>
                              </w:txbxContent>
                            </wps:txbx>
                            <wps:bodyPr lIns="0" rIns="0" tIns="0" bIns="0">
                              <a:spAutoFit/>
                            </wps:bodyPr>
                          </wps:wsp>
                        </a:graphicData>
                      </a:graphic>
                    </wp:anchor>
                  </w:drawing>
                </mc:Choice>
                <mc:Fallback>
                  <w:pict>
                    <v:rect id="shape_0" ID="Frame1" stroked="f" style="position:absolute;margin-left:18.2pt;margin-top:66.4pt;width:546.1pt;height:12.6pt">
                      <w10:wrap type="none"/>
                      <v:fill o:detectmouseclick="t" on="false"/>
                      <v:stroke color="#3465a4" joinstyle="round" endcap="flat"/>
                      <v:textbox>
                        <w:txbxContent>
                          <w:p>
                            <w:pPr>
                              <w:pStyle w:val="FrameContents"/>
                              <w:spacing w:before="0" w:after="5"/>
                              <w:rPr/>
                            </w:pPr>
                            <w:r>
                              <w:rPr/>
                            </w:r>
                          </w:p>
                        </w:txbxContent>
                      </v:textbox>
                    </v:rect>
                  </w:pict>
                </mc:Fallback>
              </mc:AlternateContent>
            </w:r>
            <w:r>
              <w:rPr/>
              <w:t>Legal Expenses</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Covered by Parish Council</w:t>
            </w:r>
          </w:p>
          <w:p>
            <w:pPr>
              <w:pStyle w:val="Normal"/>
              <w:spacing w:lineRule="auto" w:line="259" w:before="0" w:after="0"/>
              <w:ind w:left="10" w:hanging="0"/>
              <w:rPr/>
            </w:pPr>
            <w:r>
              <w:rPr/>
              <w:t>insurance policy</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 </w:t>
            </w:r>
            <w:r>
              <w:rPr/>
              <w:t>May 2017</w:t>
            </w:r>
          </w:p>
        </w:tc>
      </w:tr>
      <w:tr>
        <w:trPr>
          <w:trHeight w:val="1018"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Electronic Records</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right="8" w:hanging="0"/>
              <w:jc w:val="both"/>
              <w:rPr/>
            </w:pPr>
            <w:r>
              <w:rPr/>
              <w:t>Electronic documentation is backed up to ‘Drop Box’ regularly.  Can be accessed by Councillors.</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 </w:t>
            </w:r>
            <w:r>
              <w:rPr/>
              <w:t>Ongoing</w:t>
            </w:r>
            <w:r>
              <w:rPr>
                <w:sz w:val="24"/>
              </w:rPr>
              <w:t xml:space="preserve"> </w:t>
            </w:r>
          </w:p>
          <w:p>
            <w:pPr>
              <w:pStyle w:val="Normal"/>
              <w:spacing w:lineRule="auto" w:line="259" w:before="0" w:after="0"/>
              <w:ind w:left="-10" w:right="3059" w:hanging="0"/>
              <w:rPr/>
            </w:pPr>
            <w:r>
              <w:rPr/>
              <w:t xml:space="preserve">  </w:t>
            </w:r>
          </w:p>
        </w:tc>
      </w:tr>
      <w:tr>
        <w:trPr>
          <w:trHeight w:val="3041"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right="558" w:hanging="0"/>
              <w:rPr/>
            </w:pPr>
            <w:r>
              <w:rPr/>
              <w:t>Council not being able to continue its business due to an unexpected or tragic circumstance</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0"/>
              <w:ind w:left="10" w:hanging="0"/>
              <w:rPr/>
            </w:pPr>
            <w:r>
              <w:rPr/>
              <w:t>All files and recent records are kept at the clerk’s home. The clerk makes a back up of files to ‘Drop Box’. In the event of the clerk being indisposed one of the Councillors will take the minutes</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Ongoing</w:t>
            </w:r>
            <w:r>
              <w:rPr>
                <w:sz w:val="24"/>
              </w:rPr>
              <w:t xml:space="preserve"> </w:t>
            </w:r>
          </w:p>
        </w:tc>
      </w:tr>
      <w:tr>
        <w:trPr>
          <w:trHeight w:val="2122"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vAlign w:val="bottom"/>
          </w:tcPr>
          <w:p>
            <w:pPr>
              <w:pStyle w:val="Normal"/>
              <w:tabs>
                <w:tab w:val="center" w:pos="500" w:leader="none"/>
                <w:tab w:val="center" w:pos="1526" w:leader="none"/>
                <w:tab w:val="center" w:pos="2454" w:leader="none"/>
              </w:tabs>
              <w:spacing w:lineRule="auto" w:line="259" w:before="0" w:after="0"/>
              <w:ind w:left="0" w:hanging="0"/>
              <w:rPr/>
            </w:pPr>
            <w:r>
              <w:rPr>
                <w:rFonts w:eastAsia="Calibri" w:cs="Calibri" w:ascii="Calibri" w:hAnsi="Calibri"/>
              </w:rPr>
              <w:tab/>
            </w:r>
            <w:r>
              <w:rPr/>
              <w:t xml:space="preserve">Adequacy </w:t>
              <w:tab/>
              <w:t xml:space="preserve">of </w:t>
              <w:tab/>
              <w:t>meeting</w:t>
            </w:r>
          </w:p>
          <w:p>
            <w:pPr>
              <w:pStyle w:val="Normal"/>
              <w:spacing w:lineRule="auto" w:line="259" w:before="0" w:after="0"/>
              <w:ind w:left="10" w:hanging="0"/>
              <w:rPr/>
            </w:pPr>
            <w:r>
              <w:rPr/>
              <w:t>location</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vAlign w:val="bottom"/>
          </w:tcPr>
          <w:p>
            <w:pPr>
              <w:pStyle w:val="Normal"/>
              <w:spacing w:lineRule="auto" w:line="259" w:before="0" w:after="0"/>
              <w:ind w:left="-12" w:hanging="0"/>
              <w:rPr/>
            </w:pPr>
            <w:r>
              <w:rPr/>
              <w:t xml:space="preserve"> </w:t>
            </w: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vAlign w:val="bottom"/>
          </w:tcPr>
          <w:p>
            <w:pPr>
              <w:pStyle w:val="Normal"/>
              <w:spacing w:lineRule="auto" w:line="259" w:before="0" w:after="0"/>
              <w:ind w:left="0" w:hanging="0"/>
              <w:jc w:val="both"/>
              <w:rPr/>
            </w:pPr>
            <w:r>
              <w:rPr/>
              <w:t>Meetings are held in the Reading Room which is owned and managed by the Trustees</w:t>
            </w:r>
          </w:p>
          <w:p>
            <w:pPr>
              <w:pStyle w:val="Normal"/>
              <w:spacing w:lineRule="auto" w:line="259" w:before="0" w:after="0"/>
              <w:ind w:left="0" w:hanging="0"/>
              <w:jc w:val="both"/>
              <w:rPr/>
            </w:pPr>
            <w:r>
              <w:rPr/>
              <w:t xml:space="preserve">Or for public meetings the Church Hall  </w:t>
            </w:r>
          </w:p>
          <w:p>
            <w:pPr>
              <w:pStyle w:val="Normal"/>
              <w:spacing w:lineRule="auto" w:line="259" w:before="0" w:after="0"/>
              <w:ind w:left="0" w:hanging="0"/>
              <w:jc w:val="both"/>
              <w:rPr/>
            </w:pPr>
            <w:r>
              <w:rPr/>
              <w:t>There is no risk to the Parish</w:t>
            </w:r>
          </w:p>
          <w:p>
            <w:pPr>
              <w:pStyle w:val="Normal"/>
              <w:spacing w:lineRule="auto" w:line="259" w:before="0" w:after="0"/>
              <w:ind w:left="0" w:hanging="0"/>
              <w:jc w:val="both"/>
              <w:rPr/>
            </w:pPr>
            <w:r>
              <w:rPr/>
              <w:t>Council</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vAlign w:val="bottom"/>
          </w:tcPr>
          <w:p>
            <w:pPr>
              <w:pStyle w:val="Normal"/>
              <w:spacing w:lineRule="auto" w:line="259" w:before="0" w:after="0"/>
              <w:ind w:left="-11" w:hanging="0"/>
              <w:rPr/>
            </w:pPr>
            <w:r>
              <w:rPr/>
              <w:t xml:space="preserve"> </w:t>
            </w:r>
            <w:r>
              <w:rPr/>
              <w:t>Ongoing</w:t>
            </w:r>
            <w:r>
              <w:rPr>
                <w:sz w:val="24"/>
              </w:rPr>
              <w:t xml:space="preserve"> </w:t>
            </w:r>
          </w:p>
          <w:p>
            <w:pPr>
              <w:pStyle w:val="Normal"/>
              <w:spacing w:lineRule="auto" w:line="259" w:before="0" w:after="0"/>
              <w:ind w:left="-10" w:right="3059" w:hanging="0"/>
              <w:rPr/>
            </w:pPr>
            <w:r>
              <w:rPr/>
              <w:t xml:space="preserve">   </w:t>
            </w:r>
          </w:p>
        </w:tc>
      </w:tr>
    </w:tbl>
    <w:p>
      <w:pPr>
        <w:pStyle w:val="Normal"/>
        <w:spacing w:lineRule="auto" w:line="259" w:before="0" w:after="0"/>
        <w:ind w:left="-662" w:right="11203" w:hanging="0"/>
        <w:rPr/>
      </w:pPr>
      <w:r>
        <w:rPr/>
      </w:r>
    </w:p>
    <w:tbl>
      <w:tblPr>
        <w:tblStyle w:val="TableGrid"/>
        <w:tblW w:w="10922" w:type="dxa"/>
        <w:jc w:val="left"/>
        <w:tblInd w:w="-1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9" w:type="dxa"/>
          <w:bottom w:w="0" w:type="dxa"/>
          <w:right w:w="108" w:type="dxa"/>
        </w:tblCellMar>
        <w:tblLook w:firstRow="1" w:noVBand="1" w:lastRow="0" w:firstColumn="1" w:lastColumn="0" w:noHBand="0" w:val="04a0"/>
      </w:tblPr>
      <w:tblGrid>
        <w:gridCol w:w="2856"/>
        <w:gridCol w:w="1842"/>
        <w:gridCol w:w="3113"/>
        <w:gridCol w:w="3110"/>
      </w:tblGrid>
      <w:tr>
        <w:trPr>
          <w:trHeight w:val="2028"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Adequacy of precept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Medium</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right="19" w:hanging="0"/>
              <w:rPr/>
            </w:pPr>
            <w:r>
              <w:rPr/>
              <w:t>Sound budgeting to underlie annual precept. The Parish Council receives budget update information regularly The precept is an agenda item at the November  meeting.</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739"/>
              <w:ind w:left="10" w:hanging="0"/>
              <w:rPr/>
            </w:pPr>
            <w:r>
              <w:rPr/>
              <w:t xml:space="preserve">Ongoing </w:t>
            </w:r>
          </w:p>
          <w:p>
            <w:pPr>
              <w:pStyle w:val="Normal"/>
              <w:spacing w:lineRule="auto" w:line="259" w:before="0" w:after="0"/>
              <w:ind w:left="-22" w:hanging="0"/>
              <w:rPr/>
            </w:pPr>
            <w:r>
              <w:rPr/>
              <w:t xml:space="preserve"> </w:t>
            </w:r>
          </w:p>
        </w:tc>
      </w:tr>
      <w:tr>
        <w:trPr>
          <w:trHeight w:val="2052"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tabs>
                <w:tab w:val="center" w:pos="500" w:leader="none"/>
                <w:tab w:val="center" w:pos="1432" w:leader="none"/>
                <w:tab w:val="center" w:pos="2363" w:leader="none"/>
              </w:tabs>
              <w:spacing w:lineRule="auto" w:line="259" w:before="0" w:after="0"/>
              <w:ind w:left="0" w:hanging="0"/>
              <w:rPr/>
            </w:pPr>
            <w:r>
              <w:rPr>
                <w:rFonts w:eastAsia="Calibri" w:cs="Calibri" w:ascii="Calibri" w:hAnsi="Calibri"/>
              </w:rPr>
              <w:tab/>
            </w:r>
            <w:r>
              <w:rPr/>
              <w:t xml:space="preserve">Adequacy </w:t>
              <w:tab/>
              <w:t xml:space="preserve">of </w:t>
              <w:tab/>
              <w:t>Insurance</w:t>
            </w:r>
          </w:p>
          <w:p>
            <w:pPr>
              <w:pStyle w:val="Normal"/>
              <w:spacing w:lineRule="auto" w:line="259" w:before="0" w:after="0"/>
              <w:ind w:left="10" w:hanging="0"/>
              <w:rPr/>
            </w:pPr>
            <w:r>
              <w:rPr/>
              <w:t>cover</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3" w:hanging="0"/>
              <w:rPr/>
            </w:pPr>
            <w:r>
              <w:rPr/>
              <w:t xml:space="preserve"> </w:t>
            </w: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1"/>
              <w:ind w:left="10" w:hanging="0"/>
              <w:rPr/>
            </w:pPr>
            <w:r>
              <w:rPr/>
              <w:t xml:space="preserve">The insurance cover is reviewed annually and any new assets are added on </w:t>
            </w:r>
          </w:p>
          <w:p>
            <w:pPr>
              <w:pStyle w:val="Normal"/>
              <w:spacing w:lineRule="auto" w:line="259" w:before="0" w:after="0"/>
              <w:ind w:left="10" w:hanging="0"/>
              <w:jc w:val="both"/>
              <w:rPr/>
            </w:pPr>
            <w:r>
              <w:rPr/>
              <w:t xml:space="preserve">acquisition Employers Liability, </w:t>
            </w:r>
          </w:p>
          <w:p>
            <w:pPr>
              <w:pStyle w:val="Normal"/>
              <w:spacing w:lineRule="auto" w:line="259" w:before="0" w:after="0"/>
              <w:ind w:left="10" w:hanging="0"/>
              <w:rPr/>
            </w:pPr>
            <w:r>
              <w:rPr/>
              <w:t xml:space="preserve">Public Liability and Fidelity Guarantee are a statutory requirement.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rPr/>
            </w:pPr>
            <w:r>
              <w:rPr/>
              <w:t>May 2017</w:t>
            </w:r>
          </w:p>
        </w:tc>
      </w:tr>
      <w:tr>
        <w:trPr>
          <w:trHeight w:val="2534"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Freedom of </w:t>
            </w:r>
          </w:p>
          <w:p>
            <w:pPr>
              <w:pStyle w:val="Normal"/>
              <w:spacing w:lineRule="auto" w:line="259" w:before="0" w:after="0"/>
              <w:ind w:left="10" w:hanging="0"/>
              <w:rPr/>
            </w:pPr>
            <w:r>
              <w:rPr/>
              <w:t xml:space="preserve">Information Act </w:t>
            </w:r>
          </w:p>
          <w:p>
            <w:pPr>
              <w:pStyle w:val="Normal"/>
              <w:spacing w:lineRule="auto" w:line="259" w:before="0" w:after="0"/>
              <w:ind w:left="10" w:hanging="0"/>
              <w:rPr/>
            </w:pPr>
            <w:r>
              <w:rPr/>
              <w:t>Policy Provision</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0"/>
              <w:ind w:left="10" w:hanging="0"/>
              <w:rPr/>
            </w:pPr>
            <w:r>
              <w:rPr/>
              <w:t xml:space="preserve">The Council has a model publication scheme for Local Councils in place. </w:t>
            </w:r>
          </w:p>
          <w:p>
            <w:pPr>
              <w:pStyle w:val="Normal"/>
              <w:spacing w:lineRule="auto" w:line="240" w:before="0" w:after="0"/>
              <w:ind w:left="10" w:hanging="0"/>
              <w:rPr/>
            </w:pPr>
            <w:r>
              <w:rPr/>
              <w:t xml:space="preserve">The clerk is aware that if a substantial request arrives then this may require many hours of additional work. </w:t>
            </w:r>
          </w:p>
          <w:p>
            <w:pPr>
              <w:pStyle w:val="Normal"/>
              <w:spacing w:lineRule="auto" w:line="240" w:before="0" w:after="16"/>
              <w:ind w:left="10" w:hanging="0"/>
              <w:rPr/>
            </w:pPr>
            <w:r>
              <w:rPr/>
              <w:t xml:space="preserve">A cost schedule is in place for disbursements and fees for work </w:t>
            </w:r>
          </w:p>
          <w:p>
            <w:pPr>
              <w:pStyle w:val="Normal"/>
              <w:spacing w:lineRule="auto" w:line="259" w:before="0" w:after="0"/>
              <w:ind w:left="10" w:hanging="0"/>
              <w:rPr/>
            </w:pPr>
            <w:r>
              <w:rPr/>
              <w:t xml:space="preserve">&gt;£450.00 </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 xml:space="preserve">Monitor and report any impacts </w:t>
            </w:r>
          </w:p>
          <w:p>
            <w:pPr>
              <w:pStyle w:val="Normal"/>
              <w:spacing w:lineRule="auto" w:line="259" w:before="0" w:after="0"/>
              <w:ind w:left="10" w:hanging="0"/>
              <w:rPr/>
            </w:pPr>
            <w:r>
              <w:rPr/>
              <w:t xml:space="preserve">made </w:t>
            </w:r>
          </w:p>
          <w:p>
            <w:pPr>
              <w:pStyle w:val="Normal"/>
              <w:spacing w:lineRule="auto" w:line="259" w:before="0" w:after="0"/>
              <w:ind w:left="10" w:hanging="0"/>
              <w:rPr/>
            </w:pPr>
            <w:r>
              <w:rPr/>
              <w:t xml:space="preserve">under Freedom of Information Act </w:t>
            </w:r>
          </w:p>
        </w:tc>
      </w:tr>
      <w:tr>
        <w:trPr>
          <w:trHeight w:val="2282"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Loss of clerk/financial or</w:t>
            </w:r>
          </w:p>
          <w:p>
            <w:pPr>
              <w:pStyle w:val="Normal"/>
              <w:spacing w:lineRule="auto" w:line="259" w:before="0" w:after="0"/>
              <w:ind w:left="10" w:hanging="0"/>
              <w:rPr/>
            </w:pPr>
            <w:r>
              <w:rPr/>
              <w:t>other irregularity</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3" w:hanging="0"/>
              <w:rPr/>
            </w:pPr>
            <w:r>
              <w:rPr/>
              <w:t xml:space="preserve">  </w:t>
            </w: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0"/>
              <w:ind w:left="10" w:hanging="0"/>
              <w:rPr/>
            </w:pPr>
            <w:r>
              <w:rPr/>
              <w:t xml:space="preserve">The requirements of Fidelity Guarantee insurance must be adhered to. Clerk should be provided with relevant training, reference books, access to assistance and legal advice Membership of Yorkshire Local </w:t>
            </w:r>
          </w:p>
          <w:p>
            <w:pPr>
              <w:pStyle w:val="Normal"/>
              <w:spacing w:lineRule="auto" w:line="259" w:before="0" w:after="0"/>
              <w:ind w:left="10" w:hanging="0"/>
              <w:rPr/>
            </w:pPr>
            <w:r>
              <w:rPr/>
              <w:t>Councils Associations maintained</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Ongoing </w:t>
            </w:r>
          </w:p>
        </w:tc>
      </w:tr>
      <w:tr>
        <w:trPr>
          <w:trHeight w:val="1018"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Election Costs</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Low – higher in</w:t>
            </w:r>
          </w:p>
          <w:p>
            <w:pPr>
              <w:pStyle w:val="Normal"/>
              <w:spacing w:lineRule="auto" w:line="259" w:before="0" w:after="0"/>
              <w:ind w:left="10" w:hanging="0"/>
              <w:rPr/>
            </w:pPr>
            <w:r>
              <w:rPr/>
              <w:t>election years</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right="9" w:hanging="22"/>
              <w:rPr/>
            </w:pPr>
            <w:r>
              <w:rPr/>
              <w:t xml:space="preserve"> </w:t>
            </w:r>
            <w:r>
              <w:rPr/>
              <w:t>There are no measures, which can be adopted to minimise risk of having a contested election</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ongoing</w:t>
            </w:r>
            <w:r>
              <w:rPr>
                <w:sz w:val="24"/>
              </w:rPr>
              <w:t xml:space="preserve"> </w:t>
            </w:r>
          </w:p>
        </w:tc>
      </w:tr>
      <w:tr>
        <w:trPr>
          <w:trHeight w:val="2304"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Illegal activity or </w:t>
            </w:r>
          </w:p>
          <w:p>
            <w:pPr>
              <w:pStyle w:val="Normal"/>
              <w:spacing w:lineRule="auto" w:line="259" w:before="0" w:after="0"/>
              <w:ind w:left="10" w:hanging="0"/>
              <w:rPr/>
            </w:pPr>
            <w:r>
              <w:rPr/>
              <w:t xml:space="preserve">payments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0"/>
              <w:ind w:left="10" w:right="67" w:hanging="0"/>
              <w:rPr/>
            </w:pPr>
            <w:r>
              <w:rPr/>
              <w:t xml:space="preserve">All activity and payments made within the powers of the Parish Council and to be resolved and clearly minuted. </w:t>
            </w:r>
          </w:p>
          <w:p>
            <w:pPr>
              <w:pStyle w:val="Normal"/>
              <w:spacing w:lineRule="auto" w:line="240" w:before="0" w:after="0"/>
              <w:ind w:left="10" w:hanging="0"/>
              <w:rPr/>
            </w:pPr>
            <w:r>
              <w:rPr/>
              <w:t xml:space="preserve">No working parties exist within the </w:t>
            </w:r>
          </w:p>
          <w:p>
            <w:pPr>
              <w:pStyle w:val="Normal"/>
              <w:spacing w:lineRule="auto" w:line="259" w:before="0" w:after="0"/>
              <w:ind w:left="10" w:hanging="0"/>
              <w:jc w:val="both"/>
              <w:rPr/>
            </w:pPr>
            <w:r>
              <w:rPr/>
              <w:t xml:space="preserve">Parish Council.  Existing procedures adequate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Ongoing</w:t>
            </w:r>
            <w:r>
              <w:rPr>
                <w:sz w:val="24"/>
              </w:rPr>
              <w:t xml:space="preserve"> </w:t>
            </w:r>
          </w:p>
        </w:tc>
      </w:tr>
    </w:tbl>
    <w:p>
      <w:pPr>
        <w:pStyle w:val="Normal"/>
        <w:spacing w:lineRule="auto" w:line="259" w:before="0" w:after="0"/>
        <w:ind w:left="-662" w:right="11203" w:hanging="0"/>
        <w:rPr/>
      </w:pPr>
      <w:r>
        <w:rPr/>
      </w:r>
    </w:p>
    <w:tbl>
      <w:tblPr>
        <w:tblStyle w:val="TableGrid"/>
        <w:tblW w:w="10922" w:type="dxa"/>
        <w:jc w:val="left"/>
        <w:tblInd w:w="-1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99" w:type="dxa"/>
          <w:bottom w:w="0" w:type="dxa"/>
          <w:right w:w="108" w:type="dxa"/>
        </w:tblCellMar>
        <w:tblLook w:firstRow="1" w:noVBand="1" w:lastRow="0" w:firstColumn="1" w:lastColumn="0" w:noHBand="0" w:val="04a0"/>
      </w:tblPr>
      <w:tblGrid>
        <w:gridCol w:w="2856"/>
        <w:gridCol w:w="1842"/>
        <w:gridCol w:w="3113"/>
        <w:gridCol w:w="3110"/>
      </w:tblGrid>
      <w:tr>
        <w:trPr>
          <w:trHeight w:val="281"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0" w:hanging="0"/>
              <w:rPr/>
            </w:pPr>
            <w:r>
              <w:rPr/>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0" w:hanging="0"/>
              <w:rPr/>
            </w:pPr>
            <w:r>
              <w:rPr/>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0" w:hanging="0"/>
              <w:rPr/>
            </w:pPr>
            <w:r>
              <w:rPr/>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0" w:hanging="0"/>
              <w:rPr/>
            </w:pPr>
            <w:r>
              <w:rPr/>
            </w:r>
          </w:p>
        </w:tc>
      </w:tr>
      <w:tr>
        <w:trPr>
          <w:trHeight w:val="2813"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Minutes/Agendas/Statutory </w:t>
            </w:r>
          </w:p>
          <w:p>
            <w:pPr>
              <w:pStyle w:val="Normal"/>
              <w:spacing w:lineRule="auto" w:line="259" w:before="0" w:after="0"/>
              <w:ind w:left="10" w:hanging="0"/>
              <w:rPr/>
            </w:pPr>
            <w:r>
              <w:rPr/>
              <w:t xml:space="preserve">Documents </w:t>
            </w:r>
          </w:p>
          <w:p>
            <w:pPr>
              <w:pStyle w:val="Normal"/>
              <w:spacing w:lineRule="auto" w:line="259" w:before="0" w:after="0"/>
              <w:ind w:left="10" w:right="303" w:hanging="0"/>
              <w:rPr/>
            </w:pPr>
            <w:r>
              <w:rPr/>
              <w:t xml:space="preserve">Accuracy and legality Non compliance with statutory requirements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0"/>
              <w:ind w:left="10" w:hanging="0"/>
              <w:rPr/>
            </w:pPr>
            <w:r>
              <w:rPr/>
              <w:t xml:space="preserve">Minutes and agendas are produced in the prescribed method and adhere to legal requirements </w:t>
            </w:r>
          </w:p>
          <w:p>
            <w:pPr>
              <w:pStyle w:val="Normal"/>
              <w:spacing w:lineRule="auto" w:line="235" w:before="0" w:after="0"/>
              <w:ind w:left="10" w:right="547" w:hanging="0"/>
              <w:rPr/>
            </w:pPr>
            <w:r>
              <w:rPr/>
              <w:t xml:space="preserve">Minutes are approved and signed at next meeting </w:t>
            </w:r>
          </w:p>
          <w:p>
            <w:pPr>
              <w:pStyle w:val="Normal"/>
              <w:spacing w:lineRule="auto" w:line="240" w:before="0" w:after="0"/>
              <w:ind w:left="10" w:hanging="0"/>
              <w:rPr/>
            </w:pPr>
            <w:r>
              <w:rPr/>
              <w:t xml:space="preserve">Minutes and agendas are displayed </w:t>
            </w:r>
          </w:p>
          <w:p>
            <w:pPr>
              <w:pStyle w:val="Normal"/>
              <w:spacing w:lineRule="auto" w:line="259" w:before="0" w:after="0"/>
              <w:ind w:left="10" w:hanging="0"/>
              <w:jc w:val="both"/>
              <w:rPr/>
            </w:pPr>
            <w:r>
              <w:rPr/>
              <w:t xml:space="preserve">according to legal requirements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Ongoing</w:t>
            </w:r>
            <w:r>
              <w:rPr>
                <w:sz w:val="24"/>
              </w:rPr>
              <w:t xml:space="preserve"> </w:t>
            </w:r>
          </w:p>
        </w:tc>
      </w:tr>
      <w:tr>
        <w:trPr>
          <w:trHeight w:val="1315"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Employer Liability - Non compliance with employment law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p>
            <w:pPr>
              <w:pStyle w:val="Normal"/>
              <w:spacing w:lineRule="auto" w:line="259" w:before="0" w:after="0"/>
              <w:ind w:left="-22" w:hanging="0"/>
              <w:rPr/>
            </w:pPr>
            <w:r>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Seek advice </w:t>
            </w:r>
          </w:p>
          <w:p>
            <w:pPr>
              <w:pStyle w:val="Normal"/>
              <w:spacing w:lineRule="auto" w:line="259" w:before="0" w:after="0"/>
              <w:ind w:left="10" w:hanging="0"/>
              <w:rPr/>
            </w:pPr>
            <w:r>
              <w:rPr/>
              <w:t xml:space="preserve">from Yorkshire Local Councils Associations / District Council where necessary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Ongoing</w:t>
            </w:r>
            <w:r>
              <w:rPr>
                <w:sz w:val="24"/>
              </w:rPr>
              <w:t xml:space="preserve"> </w:t>
            </w:r>
          </w:p>
        </w:tc>
      </w:tr>
      <w:tr>
        <w:trPr>
          <w:trHeight w:val="2834"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Members Interests </w:t>
            </w:r>
          </w:p>
          <w:p>
            <w:pPr>
              <w:pStyle w:val="Normal"/>
              <w:spacing w:lineRule="auto" w:line="259" w:before="0" w:after="0"/>
              <w:ind w:left="10" w:hanging="0"/>
              <w:rPr/>
            </w:pPr>
            <w:r>
              <w:rPr/>
              <w:t xml:space="preserve">Conflict of interest </w:t>
            </w:r>
          </w:p>
          <w:p>
            <w:pPr>
              <w:pStyle w:val="Normal"/>
              <w:spacing w:lineRule="auto" w:line="259" w:before="0" w:after="0"/>
              <w:ind w:left="10" w:hanging="0"/>
              <w:rPr/>
            </w:pPr>
            <w:r>
              <w:rPr/>
              <w:t xml:space="preserve">Register of Members </w:t>
            </w:r>
          </w:p>
          <w:p>
            <w:pPr>
              <w:pStyle w:val="Normal"/>
              <w:spacing w:lineRule="auto" w:line="259" w:before="0" w:after="0"/>
              <w:ind w:left="10" w:hanging="0"/>
              <w:rPr/>
            </w:pPr>
            <w:r>
              <w:rPr/>
              <w:t xml:space="preserve">Interests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0"/>
              <w:ind w:left="10" w:right="154" w:hanging="0"/>
              <w:rPr/>
            </w:pPr>
            <w:r>
              <w:rPr/>
              <w:t xml:space="preserve">Councillors have a duty to declare any interest at the start of the meeting Register of Members Interests form </w:t>
            </w:r>
          </w:p>
          <w:p>
            <w:pPr>
              <w:pStyle w:val="Normal"/>
              <w:spacing w:lineRule="auto" w:line="259" w:before="0" w:after="0"/>
              <w:ind w:left="10" w:hanging="0"/>
              <w:rPr/>
            </w:pPr>
            <w:r>
              <w:rPr/>
              <w:t xml:space="preserve">to be reviewed at least annually. Members to take responsibility to update their register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Last reviewed September 2017</w:t>
            </w:r>
          </w:p>
        </w:tc>
      </w:tr>
      <w:tr>
        <w:trPr>
          <w:trHeight w:val="2626"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Use of Contractors</w:t>
            </w:r>
            <w:r>
              <w:rPr>
                <w:sz w:val="24"/>
              </w:rPr>
              <w:t xml:space="preserve">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vAlign w:val="bottom"/>
          </w:tcPr>
          <w:p>
            <w:pPr>
              <w:pStyle w:val="Normal"/>
              <w:spacing w:lineRule="auto" w:line="259" w:before="0" w:after="0"/>
              <w:ind w:left="10" w:right="8" w:hanging="0"/>
              <w:jc w:val="both"/>
              <w:rPr/>
            </w:pPr>
            <w:r>
              <w:rPr/>
              <w:t>The Council requires contractors to carry 3rd party liability insurance cover  and give notice of his/her self employment number to cover the PAYE risk</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vAlign w:val="bottom"/>
          </w:tcPr>
          <w:p>
            <w:pPr>
              <w:pStyle w:val="Normal"/>
              <w:spacing w:lineRule="auto" w:line="259" w:before="0" w:after="0"/>
              <w:ind w:left="-10" w:hanging="0"/>
              <w:rPr/>
            </w:pPr>
            <w:r>
              <w:rPr/>
              <w:t xml:space="preserve"> </w:t>
            </w:r>
            <w:r>
              <w:rPr/>
              <w:t>Ongoing</w:t>
            </w:r>
            <w:r>
              <w:rPr>
                <w:sz w:val="24"/>
              </w:rPr>
              <w:t xml:space="preserve"> </w:t>
            </w:r>
          </w:p>
          <w:p>
            <w:pPr>
              <w:pStyle w:val="Normal"/>
              <w:spacing w:lineRule="auto" w:line="259" w:before="0" w:after="0"/>
              <w:ind w:left="-11" w:right="3059" w:hanging="0"/>
              <w:rPr/>
            </w:pPr>
            <w:r>
              <w:rPr/>
              <w:t xml:space="preserve">   </w:t>
            </w:r>
          </w:p>
        </w:tc>
      </w:tr>
      <w:tr>
        <w:trPr>
          <w:trHeight w:val="2030" w:hRule="atLeast"/>
        </w:trPr>
        <w:tc>
          <w:tcPr>
            <w:tcW w:w="28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jc w:val="both"/>
              <w:rPr/>
            </w:pPr>
            <w:r>
              <w:rPr/>
              <w:t xml:space="preserve">That a contractor fails to deliver services  </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Low</w:t>
            </w:r>
            <w:r>
              <w:rPr>
                <w:sz w:val="24"/>
              </w:rPr>
              <w:t xml:space="preserve"> </w:t>
            </w:r>
          </w:p>
        </w:tc>
        <w:tc>
          <w:tcPr>
            <w:tcW w:w="31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35" w:before="0" w:after="17"/>
              <w:ind w:left="10" w:right="10" w:hanging="0"/>
              <w:jc w:val="both"/>
              <w:rPr/>
            </w:pPr>
            <w:r>
              <w:rPr/>
              <w:t>All contractors are paid in arrears and so there is no financial loss. In the event of a contractor failing to fulfil his contract the Council would seek an alternative, by public tender if required under</w:t>
            </w:r>
          </w:p>
          <w:p>
            <w:pPr>
              <w:pStyle w:val="Normal"/>
              <w:spacing w:lineRule="auto" w:line="259" w:before="0" w:after="0"/>
              <w:ind w:left="10" w:hanging="0"/>
              <w:rPr/>
            </w:pPr>
            <w:r>
              <w:rPr/>
              <w:t>standing orders</w:t>
            </w:r>
            <w:r>
              <w:rPr>
                <w:sz w:val="24"/>
              </w:rPr>
              <w:t xml:space="preserve"> </w:t>
            </w:r>
          </w:p>
        </w:tc>
        <w:tc>
          <w:tcPr>
            <w:tcW w:w="31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9" w:type="dxa"/>
            </w:tcMar>
          </w:tcPr>
          <w:p>
            <w:pPr>
              <w:pStyle w:val="Normal"/>
              <w:spacing w:lineRule="auto" w:line="259" w:before="0" w:after="0"/>
              <w:ind w:left="-10" w:hanging="0"/>
              <w:rPr/>
            </w:pPr>
            <w:r>
              <w:rPr/>
              <w:t xml:space="preserve"> </w:t>
            </w:r>
            <w:r>
              <w:rPr/>
              <w:t>Ongoing</w:t>
            </w:r>
            <w:r>
              <w:rPr>
                <w:sz w:val="24"/>
              </w:rPr>
              <w:t xml:space="preserve"> </w:t>
            </w:r>
          </w:p>
          <w:p>
            <w:pPr>
              <w:pStyle w:val="Normal"/>
              <w:spacing w:lineRule="auto" w:line="235" w:before="0" w:after="2"/>
              <w:ind w:left="-11" w:right="3059" w:hanging="0"/>
              <w:rPr/>
            </w:pPr>
            <w:r>
              <w:rPr/>
              <w:t xml:space="preserve">     </w:t>
            </w:r>
          </w:p>
          <w:p>
            <w:pPr>
              <w:pStyle w:val="Normal"/>
              <w:spacing w:lineRule="auto" w:line="259" w:before="0" w:after="0"/>
              <w:ind w:left="-10" w:hanging="0"/>
              <w:rPr/>
            </w:pPr>
            <w:r>
              <w:rPr/>
              <w:t xml:space="preserve"> </w:t>
            </w:r>
          </w:p>
        </w:tc>
      </w:tr>
    </w:tbl>
    <w:p>
      <w:pPr>
        <w:pStyle w:val="Normal"/>
        <w:widowControl/>
        <w:bidi w:val="0"/>
        <w:spacing w:lineRule="auto" w:line="247" w:before="0" w:after="5"/>
        <w:ind w:left="10" w:hanging="10"/>
        <w:jc w:val="left"/>
        <w:rPr/>
      </w:pPr>
      <w:r>
        <w:rPr/>
      </w:r>
    </w:p>
    <w:sectPr>
      <w:type w:val="nextPage"/>
      <w:pgSz w:w="11906" w:h="16838"/>
      <w:pgMar w:left="662" w:right="701" w:header="0" w:top="681" w:footer="0" w:bottom="1872"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34" w:hanging="360"/>
      </w:pPr>
      <w:rPr>
        <w:dstrike w:val="false"/>
        <w:strike w:val="false"/>
        <w:vertAlign w:val="baseline"/>
        <w:position w:val="0"/>
        <w:sz w:val="22"/>
        <w:sz w:val="22"/>
        <w:i w:val="false"/>
        <w:u w:val="none" w:color="000000"/>
        <w:b w:val="false"/>
        <w:szCs w:val="22"/>
        <w:highlight w:val="white"/>
        <w:rFonts w:eastAsia="Arial" w:cs="Arial"/>
        <w:color w:val="000000"/>
      </w:rPr>
    </w:lvl>
    <w:lvl w:ilvl="1">
      <w:start w:val="1"/>
      <w:numFmt w:val="lowerLetter"/>
      <w:lvlText w:val="%2"/>
      <w:lvlJc w:val="left"/>
      <w:pPr>
        <w:ind w:left="1080" w:hanging="360"/>
      </w:pPr>
      <w:rPr>
        <w:dstrike w:val="false"/>
        <w:strike w:val="false"/>
        <w:vertAlign w:val="baseline"/>
        <w:position w:val="0"/>
        <w:sz w:val="22"/>
        <w:sz w:val="22"/>
        <w:i w:val="false"/>
        <w:u w:val="none" w:color="000000"/>
        <w:b w:val="false"/>
        <w:szCs w:val="22"/>
        <w:highlight w:val="white"/>
        <w:rFonts w:eastAsia="Arial" w:cs="Arial"/>
        <w:color w:val="000000"/>
      </w:rPr>
    </w:lvl>
    <w:lvl w:ilvl="2">
      <w:start w:val="1"/>
      <w:numFmt w:val="lowerRoman"/>
      <w:lvlText w:val="%3"/>
      <w:lvlJc w:val="left"/>
      <w:pPr>
        <w:ind w:left="1800" w:hanging="360"/>
      </w:pPr>
      <w:rPr>
        <w:dstrike w:val="false"/>
        <w:strike w:val="false"/>
        <w:vertAlign w:val="baseline"/>
        <w:position w:val="0"/>
        <w:sz w:val="22"/>
        <w:sz w:val="22"/>
        <w:i w:val="false"/>
        <w:u w:val="none" w:color="000000"/>
        <w:b w:val="false"/>
        <w:szCs w:val="22"/>
        <w:highlight w:val="white"/>
        <w:rFonts w:eastAsia="Arial" w:cs="Arial"/>
        <w:color w:val="000000"/>
      </w:rPr>
    </w:lvl>
    <w:lvl w:ilvl="3">
      <w:start w:val="1"/>
      <w:numFmt w:val="decimal"/>
      <w:lvlText w:val="%4"/>
      <w:lvlJc w:val="left"/>
      <w:pPr>
        <w:ind w:left="2520" w:hanging="360"/>
      </w:pPr>
      <w:rPr>
        <w:dstrike w:val="false"/>
        <w:strike w:val="false"/>
        <w:vertAlign w:val="baseline"/>
        <w:position w:val="0"/>
        <w:sz w:val="22"/>
        <w:sz w:val="22"/>
        <w:i w:val="false"/>
        <w:u w:val="none" w:color="000000"/>
        <w:b w:val="false"/>
        <w:szCs w:val="22"/>
        <w:highlight w:val="white"/>
        <w:rFonts w:eastAsia="Arial" w:cs="Arial"/>
        <w:color w:val="000000"/>
      </w:rPr>
    </w:lvl>
    <w:lvl w:ilvl="4">
      <w:start w:val="1"/>
      <w:numFmt w:val="lowerLetter"/>
      <w:lvlText w:val="%5"/>
      <w:lvlJc w:val="left"/>
      <w:pPr>
        <w:ind w:left="3240" w:hanging="360"/>
      </w:pPr>
      <w:rPr>
        <w:dstrike w:val="false"/>
        <w:strike w:val="false"/>
        <w:vertAlign w:val="baseline"/>
        <w:position w:val="0"/>
        <w:sz w:val="22"/>
        <w:sz w:val="22"/>
        <w:i w:val="false"/>
        <w:u w:val="none" w:color="000000"/>
        <w:b w:val="false"/>
        <w:szCs w:val="22"/>
        <w:highlight w:val="white"/>
        <w:rFonts w:eastAsia="Arial" w:cs="Arial"/>
        <w:color w:val="000000"/>
      </w:rPr>
    </w:lvl>
    <w:lvl w:ilvl="5">
      <w:start w:val="1"/>
      <w:numFmt w:val="lowerRoman"/>
      <w:lvlText w:val="%6"/>
      <w:lvlJc w:val="left"/>
      <w:pPr>
        <w:ind w:left="3960" w:hanging="360"/>
      </w:pPr>
      <w:rPr>
        <w:dstrike w:val="false"/>
        <w:strike w:val="false"/>
        <w:vertAlign w:val="baseline"/>
        <w:position w:val="0"/>
        <w:sz w:val="22"/>
        <w:sz w:val="22"/>
        <w:i w:val="false"/>
        <w:u w:val="none" w:color="000000"/>
        <w:b w:val="false"/>
        <w:szCs w:val="22"/>
        <w:highlight w:val="white"/>
        <w:rFonts w:eastAsia="Arial" w:cs="Arial"/>
        <w:color w:val="000000"/>
      </w:rPr>
    </w:lvl>
    <w:lvl w:ilvl="6">
      <w:start w:val="1"/>
      <w:numFmt w:val="decimal"/>
      <w:lvlText w:val="%7"/>
      <w:lvlJc w:val="left"/>
      <w:pPr>
        <w:ind w:left="4680" w:hanging="360"/>
      </w:pPr>
      <w:rPr>
        <w:dstrike w:val="false"/>
        <w:strike w:val="false"/>
        <w:vertAlign w:val="baseline"/>
        <w:position w:val="0"/>
        <w:sz w:val="22"/>
        <w:sz w:val="22"/>
        <w:i w:val="false"/>
        <w:u w:val="none" w:color="000000"/>
        <w:b w:val="false"/>
        <w:szCs w:val="22"/>
        <w:highlight w:val="white"/>
        <w:rFonts w:eastAsia="Arial" w:cs="Arial"/>
        <w:color w:val="000000"/>
      </w:rPr>
    </w:lvl>
    <w:lvl w:ilvl="7">
      <w:start w:val="1"/>
      <w:numFmt w:val="lowerLetter"/>
      <w:lvlText w:val="%8"/>
      <w:lvlJc w:val="left"/>
      <w:pPr>
        <w:ind w:left="5400" w:hanging="360"/>
      </w:pPr>
      <w:rPr>
        <w:dstrike w:val="false"/>
        <w:strike w:val="false"/>
        <w:vertAlign w:val="baseline"/>
        <w:position w:val="0"/>
        <w:sz w:val="22"/>
        <w:sz w:val="22"/>
        <w:i w:val="false"/>
        <w:u w:val="none" w:color="000000"/>
        <w:b w:val="false"/>
        <w:szCs w:val="22"/>
        <w:highlight w:val="white"/>
        <w:rFonts w:eastAsia="Arial" w:cs="Arial"/>
        <w:color w:val="000000"/>
      </w:rPr>
    </w:lvl>
    <w:lvl w:ilvl="8">
      <w:start w:val="1"/>
      <w:numFmt w:val="lowerRoman"/>
      <w:lvlText w:val="%9"/>
      <w:lvlJc w:val="left"/>
      <w:pPr>
        <w:ind w:left="6120" w:hanging="360"/>
      </w:pPr>
      <w:rPr>
        <w:dstrike w:val="false"/>
        <w:strike w:val="false"/>
        <w:vertAlign w:val="baseline"/>
        <w:position w:val="0"/>
        <w:sz w:val="22"/>
        <w:sz w:val="22"/>
        <w:i w:val="false"/>
        <w:u w:val="none" w:color="000000"/>
        <w:b w:val="false"/>
        <w:szCs w:val="22"/>
        <w:highlight w:val="white"/>
        <w:rFonts w:eastAsia="Arial" w:cs="Arial"/>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47" w:before="0" w:after="5"/>
      <w:ind w:left="10" w:hanging="10"/>
      <w:jc w:val="left"/>
    </w:pPr>
    <w:rPr>
      <w:rFonts w:ascii="Arial" w:hAnsi="Arial" w:eastAsia="Arial" w:cs="Arial"/>
      <w:color w:val="000000"/>
      <w:sz w:val="22"/>
      <w:szCs w:val="22"/>
      <w:lang w:val="en-GB" w:eastAsia="en-GB" w:bidi="ar-SA"/>
    </w:rPr>
  </w:style>
  <w:style w:type="paragraph" w:styleId="Heading1">
    <w:name w:val="Heading 1"/>
    <w:basedOn w:val="Heading"/>
    <w:next w:val="Normal"/>
    <w:link w:val="Heading1Char"/>
    <w:uiPriority w:val="9"/>
    <w:unhideWhenUsed/>
    <w:qFormat/>
    <w:pPr>
      <w:keepNext/>
      <w:keepLines/>
      <w:widowControl/>
      <w:bidi w:val="0"/>
      <w:spacing w:before="240" w:after="3"/>
      <w:ind w:left="10" w:hanging="10"/>
      <w:jc w:val="left"/>
      <w:outlineLvl w:val="0"/>
    </w:pPr>
    <w:rPr>
      <w:rFonts w:ascii="Arial" w:hAnsi="Arial" w:eastAsia="Arial" w:cs="Arial"/>
      <w:b/>
      <w:color w:val="000000"/>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Arial" w:hAnsi="Arial" w:eastAsia="Arial" w:cs="Arial"/>
      <w:b/>
      <w:color w:val="000000"/>
      <w:sz w:val="22"/>
    </w:rPr>
  </w:style>
  <w:style w:type="character" w:styleId="ListLabel1">
    <w:name w:val="ListLabel 1"/>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1">
    <w:name w:val="ListLabel 11"/>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2">
    <w:name w:val="ListLabel 12"/>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3">
    <w:name w:val="ListLabel 13"/>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4">
    <w:name w:val="ListLabel 14"/>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5">
    <w:name w:val="ListLabel 15"/>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6">
    <w:name w:val="ListLabel 16"/>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7">
    <w:name w:val="ListLabel 17"/>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8">
    <w:name w:val="ListLabel 18"/>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19">
    <w:name w:val="ListLabel 19"/>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0">
    <w:name w:val="ListLabel 20"/>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1">
    <w:name w:val="ListLabel 21"/>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2">
    <w:name w:val="ListLabel 22"/>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3">
    <w:name w:val="ListLabel 23"/>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4">
    <w:name w:val="ListLabel 24"/>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5">
    <w:name w:val="ListLabel 25"/>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6">
    <w:name w:val="ListLabel 26"/>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7">
    <w:name w:val="ListLabel 27"/>
    <w:qFormat/>
    <w:rPr>
      <w:rFonts w:eastAsia="Arial" w:cs="Arial"/>
      <w:b w:val="false"/>
      <w:i w:val="false"/>
      <w:strike w:val="false"/>
      <w:dstrike w:val="false"/>
      <w:color w:val="000000"/>
      <w:position w:val="0"/>
      <w:sz w:val="22"/>
      <w:sz w:val="22"/>
      <w:szCs w:val="22"/>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LibreOffice/5.2.5.1$Windows_X86_64 LibreOffice_project/0312e1a284a7d50ca85a365c316c7abbf20a4d22</Application>
  <Pages>5</Pages>
  <Words>1064</Words>
  <Characters>5845</Characters>
  <CharactersWithSpaces>6913</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2017-09-04T13:56:00Z</dcterms:created>
  <dc:creator>Felliscliffe Parish Council</dc:creator>
  <dc:description/>
  <cp:keywords>risk assessment register Felliscliffe Parish Council</cp:keywords>
  <dc:language>en-GB</dc:language>
  <cp:lastModifiedBy/>
  <cp:lastPrinted>2017-09-26T09:30:19Z</cp:lastPrinted>
  <dcterms:modified xsi:type="dcterms:W3CDTF">2017-09-26T09:35:20Z</dcterms:modified>
  <cp:revision>6</cp:revision>
  <dc:subject>About the council</dc:subject>
  <dc:title>Risk Assessment Register - Felliscliffe Parish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